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835" w:rsidRDefault="002831E6" w:rsidP="00D02794">
      <w:pPr>
        <w:spacing w:after="1" w:line="200" w:lineRule="atLeas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 xml:space="preserve">Управляющая организация ООО «Управление ЖКХ», в соответствии с Федеральным законом от 23.11.2009 N 261-ФЗ </w:t>
      </w:r>
    </w:p>
    <w:p w:rsidR="00D02794" w:rsidRPr="00CF2835" w:rsidRDefault="002831E6" w:rsidP="00D02794">
      <w:pPr>
        <w:spacing w:after="1" w:line="200" w:lineRule="atLeast"/>
        <w:jc w:val="center"/>
        <w:rPr>
          <w:sz w:val="26"/>
          <w:szCs w:val="26"/>
        </w:rPr>
      </w:pPr>
      <w:r w:rsidRPr="00CF2835">
        <w:rPr>
          <w:rFonts w:ascii="Times New Roman" w:hAnsi="Times New Roman" w:cs="Times New Roman"/>
          <w:b/>
          <w:sz w:val="26"/>
          <w:szCs w:val="26"/>
        </w:rPr>
        <w:t>«Об энергосбережении и о повышении энергетической эффективности и о внесении изменений в отдельные законодательные акты Российской Федерации» предлагает  ознакомиться с перечнем мероприятий по энергоснабжению  и повышению энергетической эффективности</w:t>
      </w:r>
      <w:r w:rsidR="000506F0">
        <w:rPr>
          <w:rFonts w:ascii="Times New Roman" w:hAnsi="Times New Roman" w:cs="Times New Roman"/>
          <w:b/>
          <w:sz w:val="26"/>
          <w:szCs w:val="26"/>
        </w:rPr>
        <w:t xml:space="preserve"> на 20</w:t>
      </w:r>
      <w:r w:rsidR="00F97269">
        <w:rPr>
          <w:rFonts w:ascii="Times New Roman" w:hAnsi="Times New Roman" w:cs="Times New Roman"/>
          <w:b/>
          <w:sz w:val="26"/>
          <w:szCs w:val="26"/>
        </w:rPr>
        <w:t>2</w:t>
      </w:r>
      <w:r w:rsidR="005C35D0">
        <w:rPr>
          <w:rFonts w:ascii="Times New Roman" w:hAnsi="Times New Roman" w:cs="Times New Roman"/>
          <w:b/>
          <w:sz w:val="26"/>
          <w:szCs w:val="26"/>
        </w:rPr>
        <w:t>2</w:t>
      </w:r>
      <w:bookmarkStart w:id="0" w:name="_GoBack"/>
      <w:bookmarkEnd w:id="0"/>
      <w:r w:rsidR="0005022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506F0">
        <w:rPr>
          <w:rFonts w:ascii="Times New Roman" w:hAnsi="Times New Roman" w:cs="Times New Roman"/>
          <w:b/>
          <w:sz w:val="26"/>
          <w:szCs w:val="26"/>
        </w:rPr>
        <w:t>г.</w:t>
      </w:r>
      <w:r w:rsidR="00D02794" w:rsidRPr="00CF2835">
        <w:rPr>
          <w:rFonts w:ascii="Tahoma" w:hAnsi="Tahoma" w:cs="Tahoma"/>
          <w:sz w:val="26"/>
          <w:szCs w:val="26"/>
        </w:rPr>
        <w:br/>
      </w:r>
    </w:p>
    <w:p w:rsidR="00D02794" w:rsidRDefault="00D02794">
      <w:pPr>
        <w:spacing w:after="1" w:line="240" w:lineRule="atLeast"/>
        <w:jc w:val="both"/>
        <w:outlineLvl w:val="0"/>
      </w:pPr>
    </w:p>
    <w:tbl>
      <w:tblPr>
        <w:tblW w:w="15990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1644"/>
        <w:gridCol w:w="540"/>
        <w:gridCol w:w="2127"/>
        <w:gridCol w:w="2126"/>
        <w:gridCol w:w="1701"/>
        <w:gridCol w:w="1811"/>
        <w:gridCol w:w="1587"/>
        <w:gridCol w:w="1846"/>
        <w:gridCol w:w="2098"/>
      </w:tblGrid>
      <w:tr w:rsidR="00D02794" w:rsidRPr="00CF2835" w:rsidTr="00AA0DAD">
        <w:tc>
          <w:tcPr>
            <w:tcW w:w="510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N</w:t>
            </w:r>
          </w:p>
        </w:tc>
        <w:tc>
          <w:tcPr>
            <w:tcW w:w="2184" w:type="dxa"/>
            <w:gridSpan w:val="2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Наименование мероприятия</w:t>
            </w:r>
          </w:p>
        </w:tc>
        <w:tc>
          <w:tcPr>
            <w:tcW w:w="2127" w:type="dxa"/>
          </w:tcPr>
          <w:p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Цель мероприятия, объем ожидаемого снижения используемых энергетических ресурсов</w:t>
            </w:r>
          </w:p>
        </w:tc>
        <w:tc>
          <w:tcPr>
            <w:tcW w:w="2126" w:type="dxa"/>
          </w:tcPr>
          <w:p w:rsidR="00D02794" w:rsidRPr="00CF2835" w:rsidRDefault="00D02794" w:rsidP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Расходы (стоимость) на проведение  мероприятия, сроки окупаемости мероприятий *</w:t>
            </w:r>
          </w:p>
        </w:tc>
        <w:tc>
          <w:tcPr>
            <w:tcW w:w="1701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Применяемые технологии, оборудование и материалы</w:t>
            </w:r>
          </w:p>
        </w:tc>
        <w:tc>
          <w:tcPr>
            <w:tcW w:w="1811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Возможные исполнители мероприятий</w:t>
            </w:r>
          </w:p>
        </w:tc>
        <w:tc>
          <w:tcPr>
            <w:tcW w:w="1587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Источник финансирования</w:t>
            </w:r>
          </w:p>
        </w:tc>
        <w:tc>
          <w:tcPr>
            <w:tcW w:w="1846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Характер эксплуатации после реализации мероприятия</w:t>
            </w:r>
          </w:p>
        </w:tc>
        <w:tc>
          <w:tcPr>
            <w:tcW w:w="2098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Реализация мероприятия управляющей организацией  </w:t>
            </w: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184" w:type="dxa"/>
            <w:gridSpan w:val="2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27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126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811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587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846" w:type="dxa"/>
          </w:tcPr>
          <w:p w:rsidR="00D02794" w:rsidRPr="00CF2835" w:rsidRDefault="00D02794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2098" w:type="dxa"/>
          </w:tcPr>
          <w:p w:rsidR="00D02794" w:rsidRPr="00CF2835" w:rsidRDefault="00CF2835" w:rsidP="00CF2835">
            <w:pPr>
              <w:spacing w:after="1" w:line="240" w:lineRule="atLeas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:rsidR="00D02794" w:rsidRPr="00CF2835" w:rsidRDefault="00D02794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bookmarkStart w:id="1" w:name="P70"/>
            <w:bookmarkEnd w:id="1"/>
            <w:r w:rsidRPr="00CF2835">
              <w:rPr>
                <w:rFonts w:ascii="Times New Roman" w:hAnsi="Times New Roman" w:cs="Times New Roman"/>
                <w:sz w:val="24"/>
              </w:rPr>
              <w:t>I. Перечень основных мероприятий</w:t>
            </w:r>
          </w:p>
        </w:tc>
        <w:tc>
          <w:tcPr>
            <w:tcW w:w="2098" w:type="dxa"/>
          </w:tcPr>
          <w:p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2" w:name="P108"/>
            <w:bookmarkEnd w:id="2"/>
          </w:p>
        </w:tc>
        <w:tc>
          <w:tcPr>
            <w:tcW w:w="11738" w:type="dxa"/>
            <w:gridSpan w:val="7"/>
          </w:tcPr>
          <w:p w:rsidR="00D02794" w:rsidRPr="00CF2835" w:rsidRDefault="00D02794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:rsidR="00D02794" w:rsidRPr="00CF2835" w:rsidRDefault="00D02794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Замена ламп накаливания и ртутных ламп всех видов в местах общего пользования на </w:t>
            </w: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энергоэффективные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лампы (светильники)</w:t>
            </w:r>
          </w:p>
        </w:tc>
        <w:tc>
          <w:tcPr>
            <w:tcW w:w="2127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Экономия  электроэнергии, до 80% от текущего потребления;        </w:t>
            </w:r>
          </w:p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Улучшение качества освещения    </w:t>
            </w:r>
          </w:p>
        </w:tc>
        <w:tc>
          <w:tcPr>
            <w:tcW w:w="212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От 16 тыс. руб.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Люминесцентные лампы,            </w:t>
            </w:r>
          </w:p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светодиодные лампы      </w:t>
            </w:r>
          </w:p>
        </w:tc>
        <w:tc>
          <w:tcPr>
            <w:tcW w:w="181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Плата за содержание жилого помещения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осмотр, </w:t>
            </w:r>
            <w:r w:rsidR="00CF2835">
              <w:rPr>
                <w:rFonts w:ascii="Times New Roman" w:hAnsi="Times New Roman" w:cs="Times New Roman"/>
                <w:sz w:val="24"/>
              </w:rPr>
              <w:t>п</w:t>
            </w:r>
            <w:r w:rsidRPr="00CF2835">
              <w:rPr>
                <w:rFonts w:ascii="Times New Roman" w:hAnsi="Times New Roman" w:cs="Times New Roman"/>
                <w:sz w:val="24"/>
              </w:rPr>
              <w:t>ротирка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  <w:sz w:val="24"/>
              </w:rPr>
            </w:pPr>
            <w:bookmarkStart w:id="3" w:name="P128"/>
            <w:bookmarkEnd w:id="3"/>
          </w:p>
        </w:tc>
        <w:tc>
          <w:tcPr>
            <w:tcW w:w="11738" w:type="dxa"/>
            <w:gridSpan w:val="7"/>
          </w:tcPr>
          <w:p w:rsidR="00D02794" w:rsidRPr="00CF2835" w:rsidRDefault="00D02794" w:rsidP="00AA0DAD">
            <w:pPr>
              <w:spacing w:after="1" w:line="240" w:lineRule="atLeast"/>
              <w:outlineLvl w:val="1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II. Перечень дополнительных мероприятий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отопления и горячего водоснабжения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bookmarkStart w:id="4" w:name="P185"/>
            <w:bookmarkStart w:id="5" w:name="P198"/>
            <w:bookmarkStart w:id="6" w:name="P228"/>
            <w:bookmarkEnd w:id="4"/>
            <w:bookmarkEnd w:id="5"/>
            <w:bookmarkEnd w:id="6"/>
            <w:r w:rsidRPr="00CF2835">
              <w:rPr>
                <w:rFonts w:ascii="Times New Roman" w:hAnsi="Times New Roman" w:cs="Times New Roman"/>
                <w:sz w:val="24"/>
              </w:rPr>
              <w:t>2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Установка терморегулирующих клапанов (терморегуляторов) 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на отопительных приборах</w:t>
            </w:r>
          </w:p>
        </w:tc>
        <w:tc>
          <w:tcPr>
            <w:tcW w:w="2127" w:type="dxa"/>
          </w:tcPr>
          <w:p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Повышение температурного         </w:t>
            </w:r>
          </w:p>
          <w:p w:rsidR="00A318CA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комфорта в помещениях; </w:t>
            </w:r>
          </w:p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тепловой   энергии в системе  отопления     до 20% от текущего потребления     </w:t>
            </w:r>
          </w:p>
        </w:tc>
        <w:tc>
          <w:tcPr>
            <w:tcW w:w="2126" w:type="dxa"/>
          </w:tcPr>
          <w:p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 xml:space="preserve">Стоимость определяется на основании утвержденной </w:t>
            </w:r>
            <w:r w:rsidRPr="00AA0DAD">
              <w:rPr>
                <w:rFonts w:ascii="Times New Roman" w:hAnsi="Times New Roman" w:cs="Times New Roman"/>
                <w:sz w:val="24"/>
              </w:rPr>
              <w:lastRenderedPageBreak/>
              <w:t>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Термостатические радиаторные вентили</w:t>
            </w:r>
          </w:p>
        </w:tc>
        <w:tc>
          <w:tcPr>
            <w:tcW w:w="1811" w:type="dxa"/>
          </w:tcPr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:rsidR="00140A99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лата за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помещения 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Периодическая регулировка, ремонт</w:t>
            </w:r>
          </w:p>
        </w:tc>
        <w:tc>
          <w:tcPr>
            <w:tcW w:w="2098" w:type="dxa"/>
          </w:tcPr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CF2835">
              <w:rPr>
                <w:rFonts w:ascii="Times New Roman" w:hAnsi="Times New Roman" w:cs="Times New Roman"/>
                <w:sz w:val="24"/>
                <w:szCs w:val="24"/>
              </w:rPr>
              <w:t xml:space="preserve">Выполняется на основании соответствующего решения общего </w:t>
            </w:r>
            <w:r w:rsidRPr="00CF28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 собственников помещений в МКД</w:t>
            </w: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  <w:bookmarkStart w:id="7" w:name="P277"/>
            <w:bookmarkEnd w:id="7"/>
          </w:p>
        </w:tc>
        <w:tc>
          <w:tcPr>
            <w:tcW w:w="11738" w:type="dxa"/>
            <w:gridSpan w:val="7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Система электроснабжения и освещения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rPr>
          <w:trHeight w:val="2517"/>
        </w:trPr>
        <w:tc>
          <w:tcPr>
            <w:tcW w:w="510" w:type="dxa"/>
          </w:tcPr>
          <w:p w:rsidR="00D02794" w:rsidRPr="00CF2835" w:rsidRDefault="00A318CA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3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Установка  оборудования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для  автоматического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gramStart"/>
            <w:r w:rsidRPr="00CF2835">
              <w:rPr>
                <w:rFonts w:ascii="Times New Roman" w:hAnsi="Times New Roman" w:cs="Times New Roman"/>
                <w:sz w:val="24"/>
              </w:rPr>
              <w:t>освещения  помещений</w:t>
            </w:r>
            <w:proofErr w:type="gramEnd"/>
            <w:r w:rsidRPr="00CF2835">
              <w:rPr>
                <w:rFonts w:ascii="Times New Roman" w:hAnsi="Times New Roman" w:cs="Times New Roman"/>
                <w:sz w:val="24"/>
              </w:rPr>
              <w:t xml:space="preserve"> в    </w:t>
            </w:r>
          </w:p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местах общего  пользования    </w:t>
            </w:r>
          </w:p>
        </w:tc>
        <w:tc>
          <w:tcPr>
            <w:tcW w:w="2127" w:type="dxa"/>
          </w:tcPr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Автоматическое регулирование      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освещенности;          </w:t>
            </w:r>
          </w:p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Экономия электроэнергии  до 90% от текущего потребления      </w:t>
            </w:r>
          </w:p>
        </w:tc>
        <w:tc>
          <w:tcPr>
            <w:tcW w:w="2126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:rsidR="00CF2835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Датчики освещенности,</w:t>
            </w:r>
            <w:r w:rsidR="00CF2835"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CF2835">
              <w:rPr>
                <w:rFonts w:ascii="Times New Roman" w:hAnsi="Times New Roman" w:cs="Times New Roman"/>
                <w:sz w:val="24"/>
              </w:rPr>
              <w:t>датчики движения</w:t>
            </w:r>
          </w:p>
        </w:tc>
        <w:tc>
          <w:tcPr>
            <w:tcW w:w="1811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140A99" w:rsidRPr="00CF2835" w:rsidTr="00AA0DAD">
        <w:tc>
          <w:tcPr>
            <w:tcW w:w="510" w:type="dxa"/>
          </w:tcPr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184" w:type="dxa"/>
            <w:gridSpan w:val="2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F2835">
              <w:rPr>
                <w:rFonts w:ascii="Times New Roman" w:hAnsi="Times New Roman" w:cs="Times New Roman"/>
                <w:sz w:val="24"/>
              </w:rPr>
              <w:t>Установка  автоматических</w:t>
            </w:r>
            <w:proofErr w:type="gramEnd"/>
            <w:r w:rsidRPr="00CF2835">
              <w:rPr>
                <w:rFonts w:ascii="Times New Roman" w:hAnsi="Times New Roman" w:cs="Times New Roman"/>
                <w:sz w:val="24"/>
              </w:rPr>
              <w:t xml:space="preserve">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систем включения  (выключения)  внутридомового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освещения, реагирующих на </w:t>
            </w:r>
          </w:p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движение (звук)</w:t>
            </w:r>
          </w:p>
        </w:tc>
        <w:tc>
          <w:tcPr>
            <w:tcW w:w="2127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Экономия электроэнергии    до 90% от текущего потребления   </w:t>
            </w:r>
          </w:p>
        </w:tc>
        <w:tc>
          <w:tcPr>
            <w:tcW w:w="2126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зависит от количества подъездов в МКД</w:t>
            </w:r>
          </w:p>
        </w:tc>
        <w:tc>
          <w:tcPr>
            <w:tcW w:w="1701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Автоматические системы включения (выключения)      </w:t>
            </w:r>
          </w:p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внутридомового  освещения,  реагирующие на движение (звук)   </w:t>
            </w:r>
          </w:p>
        </w:tc>
        <w:tc>
          <w:tcPr>
            <w:tcW w:w="1811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:rsidR="00140A99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5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Модернизация электродвигателей или замена на более </w:t>
            </w: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энергоэффективные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, установка частотно-регулируемых приводов</w:t>
            </w:r>
          </w:p>
        </w:tc>
        <w:tc>
          <w:tcPr>
            <w:tcW w:w="2127" w:type="dxa"/>
          </w:tcPr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1) Более точное регулирование          </w:t>
            </w:r>
          </w:p>
          <w:p w:rsidR="00140A99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параметров в системе отопления, ГВС и ХВС;  </w:t>
            </w:r>
          </w:p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 xml:space="preserve">2) Экономия электроэнергии   до 30% от текущего потребления      </w:t>
            </w:r>
          </w:p>
        </w:tc>
        <w:tc>
          <w:tcPr>
            <w:tcW w:w="2126" w:type="dxa"/>
          </w:tcPr>
          <w:p w:rsidR="00D02794" w:rsidRPr="00CF2835" w:rsidRDefault="00CF2835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120-300 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>тыс. руб.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Трехскоростные электродвигатели</w:t>
            </w:r>
            <w:r w:rsidR="00140A99" w:rsidRPr="00CF2835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 электродвигате</w:t>
            </w: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ли с переменной скоростью вращения, частотно-регулируемые приводы</w:t>
            </w:r>
          </w:p>
        </w:tc>
        <w:tc>
          <w:tcPr>
            <w:tcW w:w="1811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lastRenderedPageBreak/>
              <w:t>ООО «Управление ЖКХ»</w:t>
            </w:r>
          </w:p>
        </w:tc>
        <w:tc>
          <w:tcPr>
            <w:tcW w:w="158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настройка, ремонт</w:t>
            </w:r>
          </w:p>
        </w:tc>
        <w:tc>
          <w:tcPr>
            <w:tcW w:w="2098" w:type="dxa"/>
          </w:tcPr>
          <w:p w:rsidR="00D02794" w:rsidRPr="00CF2835" w:rsidRDefault="00140A9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 xml:space="preserve">Выполняется на основании соответствующего решения общего собрания </w:t>
            </w:r>
            <w:r w:rsidRPr="00CF2835">
              <w:rPr>
                <w:rFonts w:ascii="Times New Roman" w:hAnsi="Times New Roman" w:cs="Times New Roman"/>
              </w:rPr>
              <w:lastRenderedPageBreak/>
              <w:t>собственников помещений в МКД</w:t>
            </w:r>
          </w:p>
        </w:tc>
      </w:tr>
      <w:tr w:rsidR="00D02794" w:rsidRPr="00CF2835" w:rsidTr="00AA0DAD">
        <w:tc>
          <w:tcPr>
            <w:tcW w:w="215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38" w:type="dxa"/>
            <w:gridSpan w:val="7"/>
          </w:tcPr>
          <w:p w:rsidR="00D02794" w:rsidRPr="00CF2835" w:rsidRDefault="00D02794" w:rsidP="00AA0DAD">
            <w:pPr>
              <w:spacing w:after="1" w:line="240" w:lineRule="atLeast"/>
              <w:outlineLvl w:val="2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Дверные и оконные конструкции</w:t>
            </w:r>
          </w:p>
        </w:tc>
        <w:tc>
          <w:tcPr>
            <w:tcW w:w="2098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6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Установка теплоотражающих пленок на окна в помещениях общего пользования</w:t>
            </w:r>
          </w:p>
        </w:tc>
        <w:tc>
          <w:tcPr>
            <w:tcW w:w="212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Снижение потерь  лучистой энергии через окна;            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 использование тепловой энергии    экономия до 20% от текущего потребления  </w:t>
            </w:r>
          </w:p>
        </w:tc>
        <w:tc>
          <w:tcPr>
            <w:tcW w:w="2126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Теплоотражающая пленка</w:t>
            </w:r>
          </w:p>
        </w:tc>
        <w:tc>
          <w:tcPr>
            <w:tcW w:w="1811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D02794" w:rsidRPr="00CF2835" w:rsidTr="00AA0DAD">
        <w:tc>
          <w:tcPr>
            <w:tcW w:w="510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7</w:t>
            </w:r>
            <w:r w:rsidR="00D02794" w:rsidRPr="00CF2835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184" w:type="dxa"/>
            <w:gridSpan w:val="2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Установка </w:t>
            </w: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низкоэмиссионных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стекол на окна в помещениях общего пользования</w:t>
            </w:r>
          </w:p>
        </w:tc>
        <w:tc>
          <w:tcPr>
            <w:tcW w:w="212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1) Снижение потерь лучистой энергии через окна;            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энергии      экономия до 20% от текущего потребления   </w:t>
            </w:r>
          </w:p>
        </w:tc>
        <w:tc>
          <w:tcPr>
            <w:tcW w:w="2126" w:type="dxa"/>
          </w:tcPr>
          <w:p w:rsidR="00D02794" w:rsidRPr="00CF2835" w:rsidRDefault="00AA0DAD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AA0DAD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Низкоэмиссионные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стекла</w:t>
            </w:r>
          </w:p>
        </w:tc>
        <w:tc>
          <w:tcPr>
            <w:tcW w:w="1811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ООО «Управление ЖКХ»</w:t>
            </w:r>
          </w:p>
        </w:tc>
        <w:tc>
          <w:tcPr>
            <w:tcW w:w="1587" w:type="dxa"/>
          </w:tcPr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292FA3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D02794" w:rsidRPr="00CF2835" w:rsidRDefault="00D02794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Периодический осмотр, ремонт</w:t>
            </w:r>
          </w:p>
        </w:tc>
        <w:tc>
          <w:tcPr>
            <w:tcW w:w="2098" w:type="dxa"/>
          </w:tcPr>
          <w:p w:rsidR="00D02794" w:rsidRPr="00CF2835" w:rsidRDefault="00292FA3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  <w:tr w:rsidR="000D7509" w:rsidRPr="00CF2835" w:rsidTr="00AA0DAD">
        <w:trPr>
          <w:trHeight w:val="437"/>
        </w:trPr>
        <w:tc>
          <w:tcPr>
            <w:tcW w:w="2694" w:type="dxa"/>
            <w:gridSpan w:val="3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198" w:type="dxa"/>
            <w:gridSpan w:val="6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Стеновые конструкции                                      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098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</w:p>
        </w:tc>
      </w:tr>
      <w:tr w:rsidR="000D7509" w:rsidRPr="00CF2835" w:rsidTr="00AA0DAD">
        <w:tc>
          <w:tcPr>
            <w:tcW w:w="510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184" w:type="dxa"/>
            <w:gridSpan w:val="2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Гидрофобизация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 стен          </w:t>
            </w:r>
          </w:p>
        </w:tc>
        <w:tc>
          <w:tcPr>
            <w:tcW w:w="2127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1) Уменьшение намокания и промерзания стен;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2) Рациональное использование тепловой  энергии;           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3) Увеличение срока   службы стеновых  конструкций   </w:t>
            </w:r>
          </w:p>
        </w:tc>
        <w:tc>
          <w:tcPr>
            <w:tcW w:w="2126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>Стоимость определяется на основании утвержденной сметы расходов на текущий ремонт и содержание общего имущества в МКД и указывается  в ежегодном отчете управляющей организации</w:t>
            </w:r>
          </w:p>
        </w:tc>
        <w:tc>
          <w:tcPr>
            <w:tcW w:w="1701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Гидрофобизаторы на </w:t>
            </w:r>
            <w:r w:rsidR="00AA0DAD">
              <w:rPr>
                <w:rFonts w:ascii="Times New Roman" w:hAnsi="Times New Roman" w:cs="Times New Roman"/>
                <w:sz w:val="24"/>
              </w:rPr>
              <w:t>к</w:t>
            </w:r>
            <w:r w:rsidRPr="00CF2835">
              <w:rPr>
                <w:rFonts w:ascii="Times New Roman" w:hAnsi="Times New Roman" w:cs="Times New Roman"/>
                <w:sz w:val="24"/>
              </w:rPr>
              <w:t>ремнийорган</w:t>
            </w:r>
            <w:r w:rsidR="00AA0DAD">
              <w:rPr>
                <w:rFonts w:ascii="Times New Roman" w:hAnsi="Times New Roman" w:cs="Times New Roman"/>
                <w:sz w:val="24"/>
              </w:rPr>
              <w:t>и</w:t>
            </w:r>
            <w:r w:rsidRPr="00CF2835">
              <w:rPr>
                <w:rFonts w:ascii="Times New Roman" w:hAnsi="Times New Roman" w:cs="Times New Roman"/>
                <w:sz w:val="24"/>
              </w:rPr>
              <w:t xml:space="preserve">ческой или акриловой основе    </w:t>
            </w:r>
          </w:p>
        </w:tc>
        <w:tc>
          <w:tcPr>
            <w:tcW w:w="1811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F2835">
              <w:rPr>
                <w:rFonts w:ascii="Times New Roman" w:hAnsi="Times New Roman" w:cs="Times New Roman"/>
                <w:sz w:val="24"/>
              </w:rPr>
              <w:t>Энергосервисная</w:t>
            </w:r>
            <w:proofErr w:type="spellEnd"/>
            <w:r w:rsidRPr="00CF2835">
              <w:rPr>
                <w:rFonts w:ascii="Times New Roman" w:hAnsi="Times New Roman" w:cs="Times New Roman"/>
                <w:sz w:val="24"/>
              </w:rPr>
              <w:t xml:space="preserve"> организация        </w:t>
            </w:r>
          </w:p>
        </w:tc>
        <w:tc>
          <w:tcPr>
            <w:tcW w:w="1587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Плата за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содержание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и ремонт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жилого     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помещения   </w:t>
            </w:r>
          </w:p>
        </w:tc>
        <w:tc>
          <w:tcPr>
            <w:tcW w:w="1846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Периодический </w:t>
            </w:r>
          </w:p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  <w:sz w:val="24"/>
              </w:rPr>
            </w:pPr>
            <w:r w:rsidRPr="00CF2835">
              <w:rPr>
                <w:rFonts w:ascii="Times New Roman" w:hAnsi="Times New Roman" w:cs="Times New Roman"/>
                <w:sz w:val="24"/>
              </w:rPr>
              <w:t xml:space="preserve"> осмотр, ремонт</w:t>
            </w:r>
          </w:p>
        </w:tc>
        <w:tc>
          <w:tcPr>
            <w:tcW w:w="2098" w:type="dxa"/>
          </w:tcPr>
          <w:p w:rsidR="000D7509" w:rsidRPr="00CF2835" w:rsidRDefault="000D7509" w:rsidP="00AA0DAD">
            <w:pPr>
              <w:spacing w:after="1" w:line="240" w:lineRule="atLeast"/>
              <w:rPr>
                <w:rFonts w:ascii="Times New Roman" w:hAnsi="Times New Roman" w:cs="Times New Roman"/>
              </w:rPr>
            </w:pPr>
            <w:r w:rsidRPr="00CF2835">
              <w:rPr>
                <w:rFonts w:ascii="Times New Roman" w:hAnsi="Times New Roman" w:cs="Times New Roman"/>
              </w:rPr>
              <w:t>Выполняется на основании соответствующего решения общего собрания собственников помещений в МКД</w:t>
            </w:r>
          </w:p>
        </w:tc>
      </w:tr>
    </w:tbl>
    <w:p w:rsidR="00292FA3" w:rsidRPr="00CF2835" w:rsidRDefault="00292FA3" w:rsidP="00CF2835">
      <w:pPr>
        <w:jc w:val="both"/>
        <w:rPr>
          <w:rFonts w:ascii="Times New Roman" w:hAnsi="Times New Roman" w:cs="Times New Roman"/>
        </w:rPr>
      </w:pPr>
      <w:bookmarkStart w:id="8" w:name="P363"/>
      <w:bookmarkStart w:id="9" w:name="P423"/>
      <w:bookmarkEnd w:id="8"/>
      <w:bookmarkEnd w:id="9"/>
    </w:p>
    <w:p w:rsidR="00292FA3" w:rsidRPr="00292FA3" w:rsidRDefault="00292FA3" w:rsidP="00CF2835">
      <w:pPr>
        <w:jc w:val="both"/>
        <w:rPr>
          <w:rFonts w:ascii="Times New Roman" w:hAnsi="Times New Roman" w:cs="Times New Roman"/>
          <w:sz w:val="24"/>
          <w:szCs w:val="24"/>
        </w:rPr>
      </w:pPr>
      <w:r w:rsidRPr="00292FA3">
        <w:rPr>
          <w:rFonts w:ascii="Times New Roman" w:hAnsi="Times New Roman" w:cs="Times New Roman"/>
          <w:sz w:val="24"/>
          <w:szCs w:val="24"/>
        </w:rPr>
        <w:t xml:space="preserve">*Окончательная стоимость мероприятий определяется на основе согласованных смет в каждом конкретном случае. Сроки окупаемости мероприятий по энергосбережению и повышению </w:t>
      </w:r>
      <w:proofErr w:type="spellStart"/>
      <w:r w:rsidRPr="00292FA3">
        <w:rPr>
          <w:rFonts w:ascii="Times New Roman" w:hAnsi="Times New Roman" w:cs="Times New Roman"/>
          <w:sz w:val="24"/>
          <w:szCs w:val="24"/>
        </w:rPr>
        <w:t>энергоэффективности</w:t>
      </w:r>
      <w:proofErr w:type="spellEnd"/>
      <w:r w:rsidRPr="00292FA3">
        <w:rPr>
          <w:rFonts w:ascii="Times New Roman" w:hAnsi="Times New Roman" w:cs="Times New Roman"/>
          <w:sz w:val="24"/>
          <w:szCs w:val="24"/>
        </w:rPr>
        <w:t xml:space="preserve"> в МКД могут быть определены после проведения энергетического обследования МКД. Энергетическое обследование МКД может быть выполнено на основании соответствующего решения общего собрания собственников помещений в МКД. </w:t>
      </w:r>
    </w:p>
    <w:p w:rsidR="00292FA3" w:rsidRPr="00292FA3" w:rsidRDefault="00292FA3" w:rsidP="00292FA3">
      <w:pPr>
        <w:rPr>
          <w:rFonts w:ascii="Times New Roman" w:hAnsi="Times New Roman" w:cs="Times New Roman"/>
          <w:b/>
          <w:sz w:val="26"/>
          <w:szCs w:val="26"/>
        </w:rPr>
      </w:pPr>
    </w:p>
    <w:p w:rsidR="00D02794" w:rsidRDefault="00292FA3" w:rsidP="00CF2835">
      <w:r w:rsidRPr="00292FA3">
        <w:rPr>
          <w:rFonts w:ascii="Times New Roman" w:hAnsi="Times New Roman" w:cs="Times New Roman"/>
          <w:b/>
          <w:sz w:val="26"/>
          <w:szCs w:val="26"/>
        </w:rPr>
        <w:t xml:space="preserve">         Просим Вам рассмотреть вышеуказанные предложения и при проведении общего собрания по утверждению плана работ и платы за содержание и текущий ремонт учесть потребность Вашего дома в п</w:t>
      </w:r>
      <w:r w:rsidR="00CF2835">
        <w:rPr>
          <w:rFonts w:ascii="Times New Roman" w:hAnsi="Times New Roman" w:cs="Times New Roman"/>
          <w:b/>
          <w:sz w:val="26"/>
          <w:szCs w:val="26"/>
        </w:rPr>
        <w:t>роведении указанных мероприятий</w:t>
      </w:r>
    </w:p>
    <w:sectPr w:rsidR="00D02794" w:rsidSect="00AA0DAD">
      <w:pgSz w:w="16838" w:h="11905" w:orient="landscape"/>
      <w:pgMar w:top="709" w:right="1134" w:bottom="850" w:left="1134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B15"/>
    <w:rsid w:val="00050220"/>
    <w:rsid w:val="000506F0"/>
    <w:rsid w:val="000D7509"/>
    <w:rsid w:val="001024A2"/>
    <w:rsid w:val="00140A99"/>
    <w:rsid w:val="002831E6"/>
    <w:rsid w:val="00292FA3"/>
    <w:rsid w:val="005A1B15"/>
    <w:rsid w:val="005C35D0"/>
    <w:rsid w:val="006F17CD"/>
    <w:rsid w:val="008A5FB2"/>
    <w:rsid w:val="00A318CA"/>
    <w:rsid w:val="00AA0DAD"/>
    <w:rsid w:val="00BA444F"/>
    <w:rsid w:val="00CD34BE"/>
    <w:rsid w:val="00CF2835"/>
    <w:rsid w:val="00D02794"/>
    <w:rsid w:val="00DA6C79"/>
    <w:rsid w:val="00F97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0CF6C"/>
  <w15:docId w15:val="{423639FA-5CEF-4A1C-B1F7-8C7DAB4A8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24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982</Words>
  <Characters>5603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Варакина</dc:creator>
  <cp:keywords/>
  <dc:description/>
  <cp:lastModifiedBy>Юзер</cp:lastModifiedBy>
  <cp:revision>5</cp:revision>
  <dcterms:created xsi:type="dcterms:W3CDTF">2020-01-27T13:35:00Z</dcterms:created>
  <dcterms:modified xsi:type="dcterms:W3CDTF">2022-02-03T09:41:00Z</dcterms:modified>
</cp:coreProperties>
</file>